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98" w:rsidRPr="005B1498" w:rsidRDefault="005C04E4" w:rsidP="005B1498">
      <w:pPr>
        <w:spacing w:after="0"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равительство </w:t>
      </w: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Р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оссийской </w:t>
      </w: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Ф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едерации</w:t>
      </w:r>
    </w:p>
    <w:p w:rsidR="005B1498" w:rsidRPr="005B1498" w:rsidRDefault="005C04E4" w:rsidP="005B1498">
      <w:pPr>
        <w:spacing w:after="0"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остановление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  <w:t>от 4 апреля 2016 г.</w:t>
      </w: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№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265</w:t>
      </w:r>
    </w:p>
    <w:p w:rsidR="005B1498" w:rsidRDefault="005C04E4" w:rsidP="005B1498">
      <w:pPr>
        <w:spacing w:after="0"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</w:t>
      </w:r>
    </w:p>
    <w:p w:rsidR="005B1498" w:rsidRPr="005B1498" w:rsidRDefault="005B1498" w:rsidP="005B1498">
      <w:pPr>
        <w:spacing w:after="0"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В соответствии с </w:t>
      </w:r>
      <w:hyperlink r:id="rId4" w:anchor="l412" w:tgtFrame="_blank" w:history="1">
        <w:r w:rsidRPr="005B1498">
          <w:rPr>
            <w:rFonts w:ascii="Segoe UI" w:eastAsia="Times New Roman" w:hAnsi="Segoe UI" w:cs="Segoe UI"/>
            <w:color w:val="006BAC"/>
            <w:sz w:val="27"/>
            <w:szCs w:val="27"/>
            <w:lang w:eastAsia="ru-RU"/>
          </w:rPr>
          <w:t>пунктом 3</w:t>
        </w:r>
      </w:hyperlink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части 1.1 статьи 4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  <w:bookmarkStart w:id="0" w:name="l1"/>
      <w:bookmarkEnd w:id="0"/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микропредприятия</w:t>
      </w:r>
      <w:proofErr w:type="spellEnd"/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- 120 млн. рублей;</w:t>
      </w: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малые предприятия - 800 млн. рублей;</w:t>
      </w: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средние предприятия - 2 млрд. рублей.</w:t>
      </w:r>
      <w:bookmarkStart w:id="1" w:name="l3"/>
      <w:bookmarkEnd w:id="1"/>
    </w:p>
    <w:p w:rsid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2. Признать утратившим силу постановление Правительства Российской Федерации </w:t>
      </w:r>
      <w:hyperlink r:id="rId5" w:anchor="l0" w:tgtFrame="_blank" w:history="1">
        <w:r w:rsidRPr="005B1498">
          <w:rPr>
            <w:rFonts w:ascii="Segoe UI" w:eastAsia="Times New Roman" w:hAnsi="Segoe UI" w:cs="Segoe UI"/>
            <w:color w:val="006BAC"/>
            <w:sz w:val="27"/>
            <w:szCs w:val="27"/>
            <w:lang w:eastAsia="ru-RU"/>
          </w:rPr>
          <w:t>от 13 июля 2015 г. N 702</w:t>
        </w:r>
      </w:hyperlink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  <w:bookmarkStart w:id="2" w:name="l2"/>
      <w:bookmarkEnd w:id="2"/>
    </w:p>
    <w:p w:rsid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3" w:name="_GoBack"/>
      <w:bookmarkEnd w:id="3"/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 Настоящее постановление вступает в силу с 1 августа 2016 г.</w:t>
      </w:r>
    </w:p>
    <w:p w:rsid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Pr="005B1498" w:rsidRDefault="005B1498" w:rsidP="005B1498">
      <w:pPr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5B1498" w:rsidRPr="005B1498" w:rsidRDefault="005B1498" w:rsidP="005B1498">
      <w:pPr>
        <w:spacing w:after="0" w:line="360" w:lineRule="atLeast"/>
        <w:jc w:val="righ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5B149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Председатель Правительства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5B149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5B149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5B149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Д. МЕДВЕДЕВ</w:t>
      </w:r>
    </w:p>
    <w:p w:rsidR="00BC39E3" w:rsidRDefault="00BC39E3"/>
    <w:sectPr w:rsidR="00BC39E3" w:rsidSect="003E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98"/>
    <w:rsid w:val="003E4CBA"/>
    <w:rsid w:val="005B1498"/>
    <w:rsid w:val="005C04E4"/>
    <w:rsid w:val="00B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5871" TargetMode="External"/><Relationship Id="rId4" Type="http://schemas.openxmlformats.org/officeDocument/2006/relationships/hyperlink" Target="https://normativ.kontur.ru/document?moduleId=1&amp;documentId=11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u420_7</dc:creator>
  <cp:keywords/>
  <dc:description/>
  <cp:lastModifiedBy>P05_LitovchenkoSY</cp:lastModifiedBy>
  <cp:revision>2</cp:revision>
  <dcterms:created xsi:type="dcterms:W3CDTF">2017-06-21T10:35:00Z</dcterms:created>
  <dcterms:modified xsi:type="dcterms:W3CDTF">2018-08-06T07:18:00Z</dcterms:modified>
</cp:coreProperties>
</file>